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53231">
      <w:pPr>
        <w:autoSpaceDE w:val="0"/>
        <w:autoSpaceDN w:val="0"/>
        <w:adjustRightInd w:val="0"/>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t>附件</w:t>
      </w:r>
      <w:r>
        <w:rPr>
          <w:rFonts w:hint="eastAsia" w:ascii="仿宋" w:hAnsi="仿宋" w:eastAsia="仿宋" w:cs="仿宋"/>
          <w:b/>
          <w:bCs/>
          <w:kern w:val="0"/>
          <w:sz w:val="32"/>
          <w:szCs w:val="32"/>
        </w:rPr>
        <w:t>3</w:t>
      </w:r>
      <w:r>
        <w:rPr>
          <w:rFonts w:hint="eastAsia" w:ascii="仿宋" w:hAnsi="仿宋" w:eastAsia="仿宋" w:cs="仿宋"/>
          <w:b/>
          <w:bCs/>
          <w:kern w:val="0"/>
          <w:sz w:val="32"/>
          <w:szCs w:val="32"/>
          <w:lang w:val="zh-CN"/>
        </w:rPr>
        <w:t>：</w:t>
      </w:r>
      <w:r>
        <w:rPr>
          <w:rFonts w:hint="eastAsia" w:ascii="仿宋_GB2312" w:hAnsi="仿宋_GB2312" w:eastAsia="仿宋_GB2312" w:cs="仿宋_GB2312"/>
          <w:b/>
          <w:bCs/>
          <w:kern w:val="0"/>
          <w:sz w:val="32"/>
          <w:szCs w:val="32"/>
        </w:rPr>
        <w:t>资格条件以及评审评分标准</w:t>
      </w:r>
    </w:p>
    <w:tbl>
      <w:tblPr>
        <w:tblStyle w:val="3"/>
        <w:tblW w:w="8887" w:type="dxa"/>
        <w:jc w:val="center"/>
        <w:tblLayout w:type="fixed"/>
        <w:tblCellMar>
          <w:top w:w="0" w:type="dxa"/>
          <w:left w:w="108" w:type="dxa"/>
          <w:bottom w:w="0" w:type="dxa"/>
          <w:right w:w="108" w:type="dxa"/>
        </w:tblCellMar>
      </w:tblPr>
      <w:tblGrid>
        <w:gridCol w:w="464"/>
        <w:gridCol w:w="1212"/>
        <w:gridCol w:w="1116"/>
        <w:gridCol w:w="5268"/>
        <w:gridCol w:w="827"/>
      </w:tblGrid>
      <w:tr w14:paraId="21D10C79">
        <w:tblPrEx>
          <w:tblCellMar>
            <w:top w:w="0" w:type="dxa"/>
            <w:left w:w="108" w:type="dxa"/>
            <w:bottom w:w="0" w:type="dxa"/>
            <w:right w:w="108" w:type="dxa"/>
          </w:tblCellMar>
        </w:tblPrEx>
        <w:trPr>
          <w:trHeight w:val="1021" w:hRule="exact"/>
          <w:jc w:val="center"/>
        </w:trPr>
        <w:tc>
          <w:tcPr>
            <w:tcW w:w="46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41B1003">
            <w:pPr>
              <w:autoSpaceDE w:val="0"/>
              <w:autoSpaceDN w:val="0"/>
              <w:adjustRightInd w:val="0"/>
              <w:spacing w:line="360" w:lineRule="exact"/>
              <w:jc w:val="center"/>
              <w:rPr>
                <w:rFonts w:hint="eastAsia" w:ascii="宋体" w:hAnsi="宋体" w:cs="宋体"/>
                <w:b/>
                <w:bCs/>
                <w:kern w:val="0"/>
                <w:sz w:val="28"/>
                <w:szCs w:val="28"/>
                <w:lang w:val="zh-CN"/>
              </w:rPr>
            </w:pPr>
            <w:r>
              <w:rPr>
                <w:rFonts w:hint="eastAsia" w:ascii="方正小标宋简体" w:hAnsi="方正小标宋简体" w:eastAsia="方正小标宋简体" w:cs="方正小标宋简体"/>
                <w:kern w:val="0"/>
                <w:sz w:val="32"/>
                <w:szCs w:val="32"/>
              </w:rPr>
              <w:t>资格条件以及评审评分标准</w:t>
            </w:r>
            <w:r>
              <w:rPr>
                <w:rFonts w:hint="eastAsia" w:ascii="宋体" w:hAnsi="宋体" w:cs="宋体"/>
                <w:b/>
                <w:bCs/>
                <w:kern w:val="0"/>
                <w:sz w:val="28"/>
                <w:szCs w:val="28"/>
                <w:lang w:val="zh-CN"/>
              </w:rPr>
              <w:t>序</w:t>
            </w:r>
          </w:p>
          <w:p w14:paraId="34602180">
            <w:pPr>
              <w:autoSpaceDE w:val="0"/>
              <w:autoSpaceDN w:val="0"/>
              <w:adjustRightInd w:val="0"/>
              <w:spacing w:line="360" w:lineRule="exact"/>
              <w:jc w:val="center"/>
              <w:rPr>
                <w:rFonts w:hint="eastAsia" w:ascii="宋体" w:hAnsi="宋体" w:cs="宋体"/>
                <w:kern w:val="0"/>
                <w:sz w:val="28"/>
                <w:szCs w:val="28"/>
                <w:lang w:val="zh-CN"/>
              </w:rPr>
            </w:pPr>
            <w:r>
              <w:rPr>
                <w:rFonts w:hint="eastAsia" w:ascii="宋体" w:hAnsi="宋体" w:cs="宋体"/>
                <w:b/>
                <w:bCs/>
                <w:kern w:val="0"/>
                <w:sz w:val="28"/>
                <w:szCs w:val="28"/>
                <w:lang w:val="zh-CN"/>
              </w:rPr>
              <w:t>号</w:t>
            </w:r>
          </w:p>
        </w:tc>
        <w:tc>
          <w:tcPr>
            <w:tcW w:w="121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100BB3C">
            <w:pPr>
              <w:autoSpaceDE w:val="0"/>
              <w:autoSpaceDN w:val="0"/>
              <w:adjustRightInd w:val="0"/>
              <w:spacing w:line="400" w:lineRule="exact"/>
              <w:jc w:val="center"/>
              <w:rPr>
                <w:rFonts w:hint="eastAsia" w:ascii="宋体" w:hAnsi="宋体" w:cs="宋体"/>
                <w:b/>
                <w:bCs/>
                <w:kern w:val="0"/>
                <w:sz w:val="28"/>
                <w:szCs w:val="28"/>
                <w:lang w:val="zh-CN"/>
              </w:rPr>
            </w:pPr>
            <w:r>
              <w:rPr>
                <w:rFonts w:hint="eastAsia" w:ascii="宋体" w:hAnsi="宋体" w:cs="宋体"/>
                <w:b/>
                <w:bCs/>
                <w:kern w:val="0"/>
                <w:sz w:val="28"/>
                <w:szCs w:val="28"/>
                <w:lang w:val="zh-CN"/>
              </w:rPr>
              <w:t>评审</w:t>
            </w:r>
          </w:p>
          <w:p w14:paraId="1833A3C9">
            <w:pPr>
              <w:autoSpaceDE w:val="0"/>
              <w:autoSpaceDN w:val="0"/>
              <w:adjustRightInd w:val="0"/>
              <w:spacing w:line="400" w:lineRule="exact"/>
              <w:jc w:val="center"/>
              <w:rPr>
                <w:rFonts w:hint="eastAsia" w:ascii="宋体" w:hAnsi="宋体" w:cs="宋体"/>
                <w:kern w:val="0"/>
                <w:sz w:val="28"/>
                <w:szCs w:val="28"/>
                <w:lang w:val="zh-CN"/>
              </w:rPr>
            </w:pPr>
            <w:r>
              <w:rPr>
                <w:rFonts w:hint="eastAsia" w:ascii="宋体" w:hAnsi="宋体" w:cs="宋体"/>
                <w:b/>
                <w:bCs/>
                <w:kern w:val="0"/>
                <w:sz w:val="28"/>
                <w:szCs w:val="28"/>
                <w:lang w:val="zh-CN"/>
              </w:rPr>
              <w:t>项目</w:t>
            </w:r>
          </w:p>
        </w:tc>
        <w:tc>
          <w:tcPr>
            <w:tcW w:w="11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C695B2E">
            <w:pPr>
              <w:autoSpaceDE w:val="0"/>
              <w:autoSpaceDN w:val="0"/>
              <w:adjustRightInd w:val="0"/>
              <w:jc w:val="center"/>
              <w:rPr>
                <w:rFonts w:hint="eastAsia" w:ascii="宋体" w:hAnsi="宋体" w:cs="宋体"/>
                <w:b/>
                <w:bCs/>
                <w:kern w:val="0"/>
                <w:sz w:val="28"/>
                <w:szCs w:val="28"/>
                <w:lang w:val="zh-CN"/>
              </w:rPr>
            </w:pPr>
            <w:r>
              <w:rPr>
                <w:rFonts w:hint="eastAsia" w:ascii="宋体" w:hAnsi="宋体" w:cs="宋体"/>
                <w:b/>
                <w:bCs/>
                <w:kern w:val="0"/>
                <w:sz w:val="28"/>
                <w:szCs w:val="28"/>
                <w:lang w:val="zh-CN"/>
              </w:rPr>
              <w:t>评审</w:t>
            </w:r>
          </w:p>
          <w:p w14:paraId="5529AFAC">
            <w:pPr>
              <w:autoSpaceDE w:val="0"/>
              <w:autoSpaceDN w:val="0"/>
              <w:adjustRightInd w:val="0"/>
              <w:jc w:val="center"/>
              <w:rPr>
                <w:rFonts w:hint="eastAsia" w:ascii="宋体" w:hAnsi="宋体" w:cs="宋体"/>
                <w:kern w:val="0"/>
                <w:sz w:val="28"/>
                <w:szCs w:val="28"/>
                <w:lang w:val="zh-CN"/>
              </w:rPr>
            </w:pPr>
            <w:r>
              <w:rPr>
                <w:rFonts w:hint="eastAsia" w:ascii="宋体" w:hAnsi="宋体" w:cs="宋体"/>
                <w:b/>
                <w:bCs/>
                <w:kern w:val="0"/>
                <w:sz w:val="28"/>
                <w:szCs w:val="28"/>
                <w:lang w:val="zh-CN"/>
              </w:rPr>
              <w:t>因素</w:t>
            </w:r>
          </w:p>
        </w:tc>
        <w:tc>
          <w:tcPr>
            <w:tcW w:w="5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FDF1C87">
            <w:pPr>
              <w:autoSpaceDE w:val="0"/>
              <w:autoSpaceDN w:val="0"/>
              <w:adjustRightInd w:val="0"/>
              <w:spacing w:line="360" w:lineRule="auto"/>
              <w:jc w:val="center"/>
              <w:rPr>
                <w:rFonts w:hint="eastAsia" w:ascii="宋体" w:hAnsi="宋体" w:cs="宋体"/>
                <w:kern w:val="0"/>
                <w:sz w:val="28"/>
                <w:szCs w:val="28"/>
                <w:lang w:val="zh-CN"/>
              </w:rPr>
            </w:pPr>
            <w:r>
              <w:rPr>
                <w:rFonts w:hint="eastAsia" w:ascii="宋体" w:hAnsi="宋体" w:cs="宋体"/>
                <w:b/>
                <w:bCs/>
                <w:kern w:val="0"/>
                <w:sz w:val="28"/>
                <w:szCs w:val="28"/>
                <w:lang w:val="zh-CN"/>
              </w:rPr>
              <w:t>评审标准</w:t>
            </w:r>
          </w:p>
        </w:tc>
        <w:tc>
          <w:tcPr>
            <w:tcW w:w="827" w:type="dxa"/>
            <w:tcBorders>
              <w:top w:val="single" w:color="000000" w:sz="2" w:space="0"/>
              <w:left w:val="single" w:color="000000" w:sz="2" w:space="0"/>
              <w:right w:val="single" w:color="000000" w:sz="2" w:space="0"/>
            </w:tcBorders>
            <w:noWrap w:val="0"/>
            <w:vAlign w:val="center"/>
          </w:tcPr>
          <w:p w14:paraId="13229F4E">
            <w:pPr>
              <w:autoSpaceDE w:val="0"/>
              <w:autoSpaceDN w:val="0"/>
              <w:adjustRightInd w:val="0"/>
              <w:spacing w:line="360" w:lineRule="auto"/>
              <w:jc w:val="center"/>
              <w:rPr>
                <w:rFonts w:hint="eastAsia" w:ascii="宋体" w:hAnsi="宋体" w:cs="宋体"/>
                <w:b/>
                <w:bCs/>
                <w:kern w:val="0"/>
                <w:sz w:val="28"/>
                <w:szCs w:val="28"/>
                <w:lang w:val="zh-CN"/>
              </w:rPr>
            </w:pPr>
            <w:r>
              <w:rPr>
                <w:rFonts w:hint="eastAsia" w:ascii="宋体" w:hAnsi="宋体" w:cs="宋体"/>
                <w:b/>
                <w:bCs/>
                <w:kern w:val="0"/>
                <w:sz w:val="28"/>
                <w:szCs w:val="28"/>
                <w:lang w:val="zh-CN"/>
              </w:rPr>
              <w:t>得分</w:t>
            </w:r>
          </w:p>
        </w:tc>
      </w:tr>
      <w:tr w14:paraId="770AA193">
        <w:tblPrEx>
          <w:tblCellMar>
            <w:top w:w="0" w:type="dxa"/>
            <w:left w:w="108" w:type="dxa"/>
            <w:bottom w:w="0" w:type="dxa"/>
            <w:right w:w="108" w:type="dxa"/>
          </w:tblCellMar>
        </w:tblPrEx>
        <w:trPr>
          <w:trHeight w:val="699" w:hRule="atLeast"/>
          <w:jc w:val="center"/>
        </w:trPr>
        <w:tc>
          <w:tcPr>
            <w:tcW w:w="46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DF514DE">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b/>
                <w:bCs/>
                <w:color w:val="000000"/>
                <w:kern w:val="0"/>
                <w:sz w:val="28"/>
                <w:szCs w:val="28"/>
                <w:lang w:val="zh-CN"/>
              </w:rPr>
              <w:t>1</w:t>
            </w:r>
          </w:p>
        </w:tc>
        <w:tc>
          <w:tcPr>
            <w:tcW w:w="1212"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DE6495B">
            <w:pPr>
              <w:autoSpaceDE w:val="0"/>
              <w:autoSpaceDN w:val="0"/>
              <w:adjustRightInd w:val="0"/>
              <w:spacing w:line="360" w:lineRule="auto"/>
              <w:jc w:val="center"/>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val="zh-CN"/>
              </w:rPr>
              <w:t>综合</w:t>
            </w:r>
          </w:p>
          <w:p w14:paraId="4D180542">
            <w:pPr>
              <w:autoSpaceDE w:val="0"/>
              <w:autoSpaceDN w:val="0"/>
              <w:adjustRightInd w:val="0"/>
              <w:spacing w:line="360" w:lineRule="auto"/>
              <w:jc w:val="center"/>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val="zh-CN"/>
              </w:rPr>
              <w:t>实力</w:t>
            </w:r>
          </w:p>
          <w:p w14:paraId="4AA62CD4">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b/>
                <w:bCs/>
                <w:color w:val="000000"/>
                <w:kern w:val="0"/>
                <w:sz w:val="28"/>
                <w:szCs w:val="28"/>
                <w:lang w:val="zh-CN"/>
              </w:rPr>
              <w:t>（40分）</w:t>
            </w:r>
          </w:p>
        </w:tc>
        <w:tc>
          <w:tcPr>
            <w:tcW w:w="11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D5515A2">
            <w:pPr>
              <w:autoSpaceDE w:val="0"/>
              <w:autoSpaceDN w:val="0"/>
              <w:adjustRightInd w:val="0"/>
              <w:spacing w:line="360" w:lineRule="exact"/>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管理体系认证</w:t>
            </w:r>
          </w:p>
          <w:p w14:paraId="6A668484">
            <w:pPr>
              <w:autoSpaceDE w:val="0"/>
              <w:autoSpaceDN w:val="0"/>
              <w:adjustRightInd w:val="0"/>
              <w:spacing w:line="360" w:lineRule="exact"/>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hint="eastAsia" w:ascii="宋体" w:hAnsi="宋体" w:cs="宋体"/>
                <w:color w:val="000000"/>
                <w:kern w:val="0"/>
                <w:sz w:val="28"/>
                <w:szCs w:val="28"/>
              </w:rPr>
              <w:t>6</w:t>
            </w:r>
            <w:r>
              <w:rPr>
                <w:rFonts w:hint="eastAsia" w:ascii="宋体" w:hAnsi="宋体" w:cs="宋体"/>
                <w:color w:val="000000"/>
                <w:kern w:val="0"/>
                <w:sz w:val="28"/>
                <w:szCs w:val="28"/>
                <w:lang w:val="zh-CN"/>
              </w:rPr>
              <w:t>分）</w:t>
            </w:r>
          </w:p>
          <w:p w14:paraId="6135A632">
            <w:pPr>
              <w:autoSpaceDE w:val="0"/>
              <w:autoSpaceDN w:val="0"/>
              <w:adjustRightInd w:val="0"/>
              <w:spacing w:line="360" w:lineRule="exact"/>
              <w:jc w:val="center"/>
              <w:rPr>
                <w:rFonts w:hint="eastAsia" w:ascii="宋体" w:hAnsi="宋体" w:cs="宋体"/>
                <w:color w:val="000000"/>
                <w:kern w:val="0"/>
                <w:sz w:val="28"/>
                <w:szCs w:val="28"/>
              </w:rPr>
            </w:pPr>
          </w:p>
        </w:tc>
        <w:tc>
          <w:tcPr>
            <w:tcW w:w="5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7FB2223">
            <w:pPr>
              <w:autoSpaceDE w:val="0"/>
              <w:autoSpaceDN w:val="0"/>
              <w:adjustRightInd w:val="0"/>
              <w:spacing w:before="120" w:beforeLines="50" w:after="120" w:afterLines="50" w:line="400" w:lineRule="exact"/>
              <w:rPr>
                <w:rFonts w:hint="eastAsia" w:ascii="宋体" w:hAnsi="宋体" w:cs="宋体"/>
                <w:color w:val="000000"/>
                <w:kern w:val="0"/>
                <w:sz w:val="28"/>
                <w:szCs w:val="28"/>
              </w:rPr>
            </w:pPr>
            <w:r>
              <w:rPr>
                <w:rFonts w:hint="eastAsia" w:ascii="宋体" w:hAnsi="宋体" w:cs="宋体"/>
                <w:color w:val="000000"/>
                <w:kern w:val="0"/>
                <w:sz w:val="28"/>
                <w:szCs w:val="28"/>
                <w:lang w:val="zh-CN"/>
              </w:rPr>
              <w:t>提供有效期内并经年检的ISO9001质量管理体系证书（复印件加盖投标单位公章），得</w:t>
            </w:r>
            <w:r>
              <w:rPr>
                <w:rFonts w:hint="eastAsia" w:ascii="宋体" w:hAnsi="宋体" w:cs="宋体"/>
                <w:color w:val="000000"/>
                <w:kern w:val="0"/>
                <w:sz w:val="28"/>
                <w:szCs w:val="28"/>
              </w:rPr>
              <w:t>2</w:t>
            </w:r>
            <w:r>
              <w:rPr>
                <w:rFonts w:hint="eastAsia" w:ascii="宋体" w:hAnsi="宋体" w:cs="宋体"/>
                <w:color w:val="000000"/>
                <w:kern w:val="0"/>
                <w:sz w:val="28"/>
                <w:szCs w:val="28"/>
                <w:lang w:val="zh-CN"/>
              </w:rPr>
              <w:t>分；提</w:t>
            </w:r>
            <w:bookmarkStart w:id="0" w:name="_GoBack"/>
            <w:bookmarkEnd w:id="0"/>
            <w:r>
              <w:rPr>
                <w:rFonts w:hint="eastAsia" w:ascii="宋体" w:hAnsi="宋体" w:cs="宋体"/>
                <w:color w:val="000000"/>
                <w:kern w:val="0"/>
                <w:sz w:val="28"/>
                <w:szCs w:val="28"/>
                <w:lang w:val="zh-CN"/>
              </w:rPr>
              <w:t>供有效期内并经年检的ISO14001环境管理体系、ISO45001职业健康安全管理体系（复印件加盖投标单位公章），每提供一种有效证书得</w:t>
            </w:r>
            <w:r>
              <w:rPr>
                <w:rFonts w:hint="eastAsia" w:ascii="宋体" w:hAnsi="宋体" w:cs="宋体"/>
                <w:color w:val="000000"/>
                <w:kern w:val="0"/>
                <w:sz w:val="28"/>
                <w:szCs w:val="28"/>
              </w:rPr>
              <w:t>2</w:t>
            </w:r>
            <w:r>
              <w:rPr>
                <w:rFonts w:hint="eastAsia" w:ascii="宋体" w:hAnsi="宋体" w:cs="宋体"/>
                <w:color w:val="000000"/>
                <w:kern w:val="0"/>
                <w:sz w:val="28"/>
                <w:szCs w:val="28"/>
                <w:lang w:val="zh-CN"/>
              </w:rPr>
              <w:t>分。满分</w:t>
            </w:r>
            <w:r>
              <w:rPr>
                <w:rFonts w:hint="eastAsia" w:ascii="宋体" w:hAnsi="宋体" w:cs="宋体"/>
                <w:color w:val="000000"/>
                <w:kern w:val="0"/>
                <w:sz w:val="28"/>
                <w:szCs w:val="28"/>
              </w:rPr>
              <w:t>6</w:t>
            </w:r>
            <w:r>
              <w:rPr>
                <w:rFonts w:hint="eastAsia" w:ascii="宋体" w:hAnsi="宋体" w:cs="宋体"/>
                <w:color w:val="000000"/>
                <w:kern w:val="0"/>
                <w:sz w:val="28"/>
                <w:szCs w:val="28"/>
                <w:lang w:val="zh-CN"/>
              </w:rPr>
              <w:t>分</w:t>
            </w:r>
            <w:r>
              <w:rPr>
                <w:rFonts w:hint="eastAsia" w:ascii="宋体" w:hAnsi="宋体" w:cs="宋体"/>
                <w:color w:val="000000"/>
                <w:kern w:val="0"/>
                <w:sz w:val="28"/>
                <w:szCs w:val="28"/>
              </w:rPr>
              <w:t>。</w:t>
            </w:r>
          </w:p>
        </w:tc>
        <w:tc>
          <w:tcPr>
            <w:tcW w:w="82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D4A9D87">
            <w:pPr>
              <w:autoSpaceDE w:val="0"/>
              <w:autoSpaceDN w:val="0"/>
              <w:adjustRightInd w:val="0"/>
              <w:spacing w:line="360" w:lineRule="auto"/>
              <w:jc w:val="center"/>
              <w:rPr>
                <w:rFonts w:hint="eastAsia" w:ascii="宋体" w:hAnsi="宋体" w:cs="宋体"/>
                <w:color w:val="000000"/>
                <w:kern w:val="0"/>
                <w:sz w:val="28"/>
                <w:szCs w:val="28"/>
                <w:lang w:val="zh-CN"/>
              </w:rPr>
            </w:pPr>
          </w:p>
        </w:tc>
      </w:tr>
      <w:tr w14:paraId="54AE6AD7">
        <w:tblPrEx>
          <w:tblCellMar>
            <w:top w:w="0" w:type="dxa"/>
            <w:left w:w="108" w:type="dxa"/>
            <w:bottom w:w="0" w:type="dxa"/>
            <w:right w:w="108" w:type="dxa"/>
          </w:tblCellMar>
        </w:tblPrEx>
        <w:trPr>
          <w:trHeight w:val="699" w:hRule="atLeast"/>
          <w:jc w:val="center"/>
        </w:trPr>
        <w:tc>
          <w:tcPr>
            <w:tcW w:w="46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068A5C7">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b/>
                <w:bCs/>
                <w:color w:val="000000"/>
                <w:kern w:val="0"/>
                <w:sz w:val="28"/>
                <w:szCs w:val="28"/>
                <w:lang w:val="zh-CN"/>
              </w:rPr>
              <w:t>2</w:t>
            </w:r>
          </w:p>
        </w:tc>
        <w:tc>
          <w:tcPr>
            <w:tcW w:w="1212"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F9F2AB6">
            <w:pPr>
              <w:autoSpaceDE w:val="0"/>
              <w:autoSpaceDN w:val="0"/>
              <w:adjustRightInd w:val="0"/>
              <w:spacing w:after="200" w:line="276" w:lineRule="auto"/>
              <w:jc w:val="left"/>
              <w:rPr>
                <w:rFonts w:hint="eastAsia" w:ascii="宋体" w:hAnsi="宋体" w:cs="宋体"/>
                <w:color w:val="000000"/>
                <w:kern w:val="0"/>
                <w:sz w:val="28"/>
                <w:szCs w:val="28"/>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97B9AAA">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财务</w:t>
            </w:r>
          </w:p>
          <w:p w14:paraId="5B76B9FC">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状况</w:t>
            </w:r>
          </w:p>
          <w:p w14:paraId="09CE38DB">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（3分）</w:t>
            </w:r>
          </w:p>
        </w:tc>
        <w:tc>
          <w:tcPr>
            <w:tcW w:w="5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7C9CF70">
            <w:pPr>
              <w:autoSpaceDE w:val="0"/>
              <w:autoSpaceDN w:val="0"/>
              <w:adjustRightInd w:val="0"/>
              <w:spacing w:before="120" w:beforeLines="50" w:after="120" w:afterLines="50" w:line="400" w:lineRule="exac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提供（2021、2022、2023）三年内任意一年的第三方审计的财务报告得1分（至少包括资产负债表、现金流量表、利润表及财务状况说明或附注）（复印件加盖投标单位公章）；根据财务状况，横向比较，资产负债率最低的得</w:t>
            </w:r>
            <w:r>
              <w:rPr>
                <w:rFonts w:hint="eastAsia" w:ascii="宋体" w:hAnsi="宋体" w:cs="宋体"/>
                <w:color w:val="000000"/>
                <w:kern w:val="0"/>
                <w:sz w:val="28"/>
                <w:szCs w:val="28"/>
              </w:rPr>
              <w:t>1分；提供针对贵单位开具的资信证明得1分。</w:t>
            </w:r>
            <w:r>
              <w:rPr>
                <w:rFonts w:hint="eastAsia" w:ascii="宋体" w:hAnsi="宋体" w:cs="宋体"/>
                <w:color w:val="000000"/>
                <w:kern w:val="0"/>
                <w:sz w:val="28"/>
                <w:szCs w:val="28"/>
                <w:lang w:val="zh-CN"/>
              </w:rPr>
              <w:t>满分3分。</w:t>
            </w:r>
          </w:p>
        </w:tc>
        <w:tc>
          <w:tcPr>
            <w:tcW w:w="82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F8500E7">
            <w:pPr>
              <w:autoSpaceDE w:val="0"/>
              <w:autoSpaceDN w:val="0"/>
              <w:adjustRightInd w:val="0"/>
              <w:spacing w:line="360" w:lineRule="auto"/>
              <w:jc w:val="center"/>
              <w:rPr>
                <w:rFonts w:hint="eastAsia" w:ascii="宋体" w:hAnsi="宋体" w:cs="宋体"/>
                <w:color w:val="000000"/>
                <w:kern w:val="0"/>
                <w:sz w:val="28"/>
                <w:szCs w:val="28"/>
                <w:lang w:val="zh-CN"/>
              </w:rPr>
            </w:pPr>
          </w:p>
        </w:tc>
      </w:tr>
      <w:tr w14:paraId="677D6B2B">
        <w:tblPrEx>
          <w:tblCellMar>
            <w:top w:w="0" w:type="dxa"/>
            <w:left w:w="108" w:type="dxa"/>
            <w:bottom w:w="0" w:type="dxa"/>
            <w:right w:w="108" w:type="dxa"/>
          </w:tblCellMar>
        </w:tblPrEx>
        <w:trPr>
          <w:trHeight w:val="699" w:hRule="atLeast"/>
          <w:jc w:val="center"/>
        </w:trPr>
        <w:tc>
          <w:tcPr>
            <w:tcW w:w="46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7AA3D3E">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b/>
                <w:bCs/>
                <w:color w:val="000000"/>
                <w:kern w:val="0"/>
                <w:sz w:val="28"/>
                <w:szCs w:val="28"/>
                <w:lang w:val="zh-CN"/>
              </w:rPr>
              <w:t>3</w:t>
            </w:r>
          </w:p>
        </w:tc>
        <w:tc>
          <w:tcPr>
            <w:tcW w:w="1212"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21854F4">
            <w:pPr>
              <w:autoSpaceDE w:val="0"/>
              <w:autoSpaceDN w:val="0"/>
              <w:adjustRightInd w:val="0"/>
              <w:spacing w:after="200" w:line="276" w:lineRule="auto"/>
              <w:jc w:val="left"/>
              <w:rPr>
                <w:rFonts w:hint="eastAsia" w:ascii="宋体" w:hAnsi="宋体" w:cs="宋体"/>
                <w:color w:val="000000"/>
                <w:kern w:val="0"/>
                <w:sz w:val="28"/>
                <w:szCs w:val="28"/>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A8C3660">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业绩</w:t>
            </w:r>
          </w:p>
          <w:p w14:paraId="0C162827">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（8分）</w:t>
            </w:r>
          </w:p>
        </w:tc>
        <w:tc>
          <w:tcPr>
            <w:tcW w:w="5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B579673">
            <w:pPr>
              <w:autoSpaceDE w:val="0"/>
              <w:autoSpaceDN w:val="0"/>
              <w:adjustRightInd w:val="0"/>
              <w:spacing w:before="120" w:beforeLines="50" w:after="120" w:afterLines="50" w:line="400" w:lineRule="exact"/>
              <w:rPr>
                <w:rFonts w:hint="eastAsia" w:ascii="宋体" w:hAnsi="宋体" w:cs="宋体"/>
                <w:color w:val="000000"/>
                <w:kern w:val="0"/>
                <w:sz w:val="28"/>
                <w:szCs w:val="28"/>
                <w:lang w:val="zh-CN"/>
              </w:rPr>
            </w:pPr>
            <w:r>
              <w:rPr>
                <w:rFonts w:hint="eastAsia" w:ascii="宋体" w:hAnsi="宋体" w:cs="宋体"/>
                <w:color w:val="000000"/>
                <w:kern w:val="0"/>
                <w:sz w:val="28"/>
                <w:szCs w:val="28"/>
              </w:rPr>
              <w:t>提供</w:t>
            </w:r>
            <w:r>
              <w:rPr>
                <w:rFonts w:hint="eastAsia" w:ascii="宋体" w:hAnsi="宋体" w:cs="宋体"/>
                <w:color w:val="000000"/>
                <w:kern w:val="0"/>
                <w:sz w:val="28"/>
                <w:szCs w:val="28"/>
                <w:lang w:val="zh-CN"/>
              </w:rPr>
              <w:t>近三年（</w:t>
            </w:r>
            <w:r>
              <w:rPr>
                <w:rFonts w:hint="eastAsia" w:ascii="宋体" w:hAnsi="宋体" w:cs="宋体"/>
                <w:color w:val="000000"/>
                <w:kern w:val="0"/>
                <w:sz w:val="28"/>
                <w:szCs w:val="28"/>
              </w:rPr>
              <w:t>2022、2023、2024</w:t>
            </w:r>
            <w:r>
              <w:rPr>
                <w:rFonts w:hint="eastAsia" w:ascii="宋体" w:hAnsi="宋体" w:cs="宋体"/>
                <w:color w:val="000000"/>
                <w:kern w:val="0"/>
                <w:sz w:val="28"/>
                <w:szCs w:val="28"/>
                <w:lang w:val="zh-CN"/>
              </w:rPr>
              <w:t>）已完成或正在履行的五金机电、劳保保洁用品采购合同</w:t>
            </w:r>
            <w:r>
              <w:rPr>
                <w:rFonts w:hint="eastAsia" w:ascii="宋体" w:hAnsi="宋体" w:cs="宋体"/>
                <w:color w:val="000000"/>
                <w:kern w:val="0"/>
                <w:sz w:val="28"/>
                <w:szCs w:val="28"/>
              </w:rPr>
              <w:t>或</w:t>
            </w:r>
            <w:r>
              <w:rPr>
                <w:rFonts w:hint="eastAsia" w:ascii="宋体" w:hAnsi="宋体" w:cs="宋体"/>
                <w:color w:val="000000"/>
                <w:kern w:val="0"/>
                <w:sz w:val="28"/>
                <w:szCs w:val="28"/>
                <w:lang w:val="zh-CN"/>
              </w:rPr>
              <w:t>中标通知书，加盖投标单位公章，</w:t>
            </w:r>
          </w:p>
          <w:p w14:paraId="7610B519">
            <w:pPr>
              <w:autoSpaceDE w:val="0"/>
              <w:autoSpaceDN w:val="0"/>
              <w:adjustRightInd w:val="0"/>
              <w:spacing w:before="120" w:beforeLines="50" w:after="120" w:afterLines="50" w:line="400" w:lineRule="exac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单项合同额10万以下的业绩及不符合上述要求的为无效业绩不得分，单项合同额10万（含）以上的</w:t>
            </w:r>
            <w:r>
              <w:rPr>
                <w:rFonts w:hint="eastAsia" w:ascii="宋体" w:hAnsi="宋体" w:cs="宋体"/>
                <w:color w:val="000000"/>
                <w:kern w:val="0"/>
                <w:sz w:val="28"/>
                <w:szCs w:val="28"/>
              </w:rPr>
              <w:t>合同</w:t>
            </w:r>
            <w:r>
              <w:rPr>
                <w:rFonts w:hint="eastAsia" w:ascii="宋体" w:hAnsi="宋体" w:cs="宋体"/>
                <w:color w:val="000000"/>
                <w:kern w:val="0"/>
                <w:sz w:val="28"/>
                <w:szCs w:val="28"/>
                <w:lang w:val="zh-CN"/>
              </w:rPr>
              <w:t>每个得</w:t>
            </w:r>
            <w:r>
              <w:rPr>
                <w:rFonts w:hint="eastAsia" w:ascii="宋体" w:hAnsi="宋体" w:cs="宋体"/>
                <w:color w:val="000000"/>
                <w:kern w:val="0"/>
                <w:sz w:val="28"/>
                <w:szCs w:val="28"/>
              </w:rPr>
              <w:t>1</w:t>
            </w:r>
            <w:r>
              <w:rPr>
                <w:rFonts w:hint="eastAsia" w:ascii="宋体" w:hAnsi="宋体" w:cs="宋体"/>
                <w:color w:val="000000"/>
                <w:kern w:val="0"/>
                <w:sz w:val="28"/>
                <w:szCs w:val="28"/>
                <w:lang w:val="zh-CN"/>
              </w:rPr>
              <w:t>分，累计最高得8分。</w:t>
            </w:r>
          </w:p>
        </w:tc>
        <w:tc>
          <w:tcPr>
            <w:tcW w:w="82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C8F181E">
            <w:pPr>
              <w:autoSpaceDE w:val="0"/>
              <w:autoSpaceDN w:val="0"/>
              <w:adjustRightInd w:val="0"/>
              <w:spacing w:line="360" w:lineRule="auto"/>
              <w:jc w:val="center"/>
              <w:rPr>
                <w:rFonts w:hint="eastAsia" w:ascii="宋体" w:hAnsi="宋体" w:cs="宋体"/>
                <w:color w:val="000000"/>
                <w:kern w:val="0"/>
                <w:sz w:val="28"/>
                <w:szCs w:val="28"/>
                <w:lang w:val="zh-CN"/>
              </w:rPr>
            </w:pPr>
          </w:p>
        </w:tc>
      </w:tr>
      <w:tr w14:paraId="7297DE46">
        <w:tblPrEx>
          <w:tblCellMar>
            <w:top w:w="0" w:type="dxa"/>
            <w:left w:w="108" w:type="dxa"/>
            <w:bottom w:w="0" w:type="dxa"/>
            <w:right w:w="108" w:type="dxa"/>
          </w:tblCellMar>
        </w:tblPrEx>
        <w:trPr>
          <w:trHeight w:val="699" w:hRule="atLeast"/>
          <w:jc w:val="center"/>
        </w:trPr>
        <w:tc>
          <w:tcPr>
            <w:tcW w:w="46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413F7FD">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b/>
                <w:bCs/>
                <w:color w:val="000000"/>
                <w:kern w:val="0"/>
                <w:sz w:val="28"/>
                <w:szCs w:val="28"/>
                <w:lang w:val="zh-CN"/>
              </w:rPr>
              <w:t>4</w:t>
            </w:r>
          </w:p>
        </w:tc>
        <w:tc>
          <w:tcPr>
            <w:tcW w:w="1212"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0F7652B">
            <w:pPr>
              <w:autoSpaceDE w:val="0"/>
              <w:autoSpaceDN w:val="0"/>
              <w:adjustRightInd w:val="0"/>
              <w:spacing w:after="200" w:line="276" w:lineRule="auto"/>
              <w:jc w:val="left"/>
              <w:rPr>
                <w:rFonts w:hint="eastAsia" w:ascii="宋体" w:hAnsi="宋体" w:cs="宋体"/>
                <w:color w:val="000000"/>
                <w:kern w:val="0"/>
                <w:sz w:val="28"/>
                <w:szCs w:val="28"/>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AC49A8A">
            <w:pPr>
              <w:autoSpaceDE w:val="0"/>
              <w:autoSpaceDN w:val="0"/>
              <w:adjustRightInd w:val="0"/>
              <w:spacing w:line="360" w:lineRule="exact"/>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资质</w:t>
            </w:r>
          </w:p>
          <w:p w14:paraId="5A754827">
            <w:pPr>
              <w:autoSpaceDE w:val="0"/>
              <w:autoSpaceDN w:val="0"/>
              <w:adjustRightInd w:val="0"/>
              <w:spacing w:line="360" w:lineRule="exact"/>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（5分）</w:t>
            </w:r>
          </w:p>
        </w:tc>
        <w:tc>
          <w:tcPr>
            <w:tcW w:w="5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8B787E6">
            <w:pPr>
              <w:widowControl w:val="0"/>
              <w:jc w:val="left"/>
              <w:rPr>
                <w:rFonts w:hint="eastAsia" w:ascii="宋体" w:hAnsi="宋体" w:eastAsia="宋体" w:cs="宋体"/>
                <w:kern w:val="2"/>
                <w:sz w:val="28"/>
                <w:szCs w:val="28"/>
                <w:lang w:val="en-US" w:eastAsia="zh-CN" w:bidi="ar-SA"/>
              </w:rPr>
            </w:pPr>
            <w:r>
              <w:rPr>
                <w:rFonts w:hint="eastAsia" w:ascii="宋体" w:hAnsi="宋体" w:eastAsia="宋体" w:cs="宋体"/>
                <w:color w:val="000000"/>
                <w:kern w:val="0"/>
                <w:sz w:val="28"/>
                <w:szCs w:val="28"/>
                <w:lang w:val="zh-CN" w:eastAsia="zh-CN" w:bidi="ar-SA"/>
              </w:rPr>
              <w:t xml:space="preserve">参选人提供有效的后勤材料、劳保用品等制造厂家品牌销售代理的资质，每提供1个品牌代理得0.5分，满分5分。 </w:t>
            </w:r>
          </w:p>
        </w:tc>
        <w:tc>
          <w:tcPr>
            <w:tcW w:w="82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CBCBA56">
            <w:pPr>
              <w:autoSpaceDE w:val="0"/>
              <w:autoSpaceDN w:val="0"/>
              <w:adjustRightInd w:val="0"/>
              <w:spacing w:line="360" w:lineRule="auto"/>
              <w:jc w:val="center"/>
              <w:rPr>
                <w:rFonts w:hint="eastAsia" w:ascii="宋体" w:hAnsi="宋体" w:cs="宋体"/>
                <w:color w:val="000000"/>
                <w:kern w:val="0"/>
                <w:sz w:val="28"/>
                <w:szCs w:val="28"/>
                <w:lang w:val="zh-CN"/>
              </w:rPr>
            </w:pPr>
          </w:p>
        </w:tc>
      </w:tr>
      <w:tr w14:paraId="6A87C7EF">
        <w:tblPrEx>
          <w:tblCellMar>
            <w:top w:w="0" w:type="dxa"/>
            <w:left w:w="108" w:type="dxa"/>
            <w:bottom w:w="0" w:type="dxa"/>
            <w:right w:w="108" w:type="dxa"/>
          </w:tblCellMar>
        </w:tblPrEx>
        <w:trPr>
          <w:trHeight w:val="699" w:hRule="atLeast"/>
          <w:jc w:val="center"/>
        </w:trPr>
        <w:tc>
          <w:tcPr>
            <w:tcW w:w="46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3AB5BFC">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b/>
                <w:bCs/>
                <w:color w:val="000000"/>
                <w:kern w:val="0"/>
                <w:sz w:val="28"/>
                <w:szCs w:val="28"/>
                <w:lang w:val="zh-CN"/>
              </w:rPr>
              <w:t>5</w:t>
            </w:r>
          </w:p>
        </w:tc>
        <w:tc>
          <w:tcPr>
            <w:tcW w:w="1212"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87A7FA1">
            <w:pPr>
              <w:autoSpaceDE w:val="0"/>
              <w:autoSpaceDN w:val="0"/>
              <w:adjustRightInd w:val="0"/>
              <w:spacing w:after="200" w:line="276" w:lineRule="auto"/>
              <w:jc w:val="left"/>
              <w:rPr>
                <w:rFonts w:hint="eastAsia" w:ascii="宋体" w:hAnsi="宋体" w:cs="宋体"/>
                <w:color w:val="000000"/>
                <w:kern w:val="0"/>
                <w:sz w:val="28"/>
                <w:szCs w:val="28"/>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0053900">
            <w:pPr>
              <w:autoSpaceDE w:val="0"/>
              <w:autoSpaceDN w:val="0"/>
              <w:adjustRightInd w:val="0"/>
              <w:spacing w:line="360" w:lineRule="auto"/>
              <w:jc w:val="center"/>
              <w:rPr>
                <w:rFonts w:hint="eastAsia" w:ascii="宋体" w:hAnsi="宋体" w:cs="宋体"/>
                <w:color w:val="000000"/>
                <w:spacing w:val="-23"/>
                <w:kern w:val="0"/>
                <w:sz w:val="28"/>
                <w:szCs w:val="28"/>
                <w:lang w:val="zh-CN"/>
              </w:rPr>
            </w:pPr>
            <w:r>
              <w:rPr>
                <w:rFonts w:hint="eastAsia" w:ascii="宋体" w:hAnsi="宋体" w:cs="宋体"/>
                <w:color w:val="000000"/>
                <w:spacing w:val="-23"/>
                <w:kern w:val="0"/>
                <w:sz w:val="28"/>
                <w:szCs w:val="28"/>
                <w:lang w:val="zh-CN"/>
              </w:rPr>
              <w:t>信誉及证书</w:t>
            </w:r>
          </w:p>
          <w:p w14:paraId="7FB0C89E">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color w:val="000000"/>
                <w:spacing w:val="-23"/>
                <w:kern w:val="0"/>
                <w:sz w:val="28"/>
                <w:szCs w:val="28"/>
                <w:lang w:val="zh-CN"/>
              </w:rPr>
              <w:t>（8分）</w:t>
            </w:r>
          </w:p>
        </w:tc>
        <w:tc>
          <w:tcPr>
            <w:tcW w:w="5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D03B866">
            <w:pPr>
              <w:autoSpaceDE w:val="0"/>
              <w:autoSpaceDN w:val="0"/>
              <w:adjustRightInd w:val="0"/>
              <w:snapToGrid w:val="0"/>
              <w:spacing w:line="400" w:lineRule="exac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提供国家税务机关连续三年（2021、2022、2023）纳税A级认证（得3分），国家税务机关三年内任一年信誉B级认证（得2分），未提供的不得分，满分3分。</w:t>
            </w:r>
          </w:p>
          <w:p w14:paraId="170FC80F">
            <w:pPr>
              <w:autoSpaceDE w:val="0"/>
              <w:autoSpaceDN w:val="0"/>
              <w:adjustRightInd w:val="0"/>
              <w:snapToGrid w:val="0"/>
              <w:spacing w:line="400" w:lineRule="exact"/>
              <w:rPr>
                <w:rFonts w:hint="eastAsia" w:ascii="宋体" w:hAnsi="宋体" w:cs="宋体"/>
                <w:color w:val="000000"/>
                <w:kern w:val="0"/>
                <w:sz w:val="28"/>
                <w:szCs w:val="28"/>
              </w:rPr>
            </w:pPr>
            <w:r>
              <w:rPr>
                <w:rFonts w:hint="eastAsia" w:ascii="宋体" w:hAnsi="宋体" w:cs="宋体"/>
                <w:color w:val="000000"/>
                <w:kern w:val="0"/>
                <w:sz w:val="28"/>
                <w:szCs w:val="28"/>
                <w:lang w:val="zh-CN"/>
              </w:rPr>
              <w:t>2023年以来，取得AAA体系信用资质证书（提供复印件并加盖公章），每提供一个得</w:t>
            </w:r>
            <w:r>
              <w:rPr>
                <w:rFonts w:hint="eastAsia" w:ascii="宋体" w:hAnsi="宋体" w:cs="宋体"/>
                <w:color w:val="000000"/>
                <w:kern w:val="0"/>
                <w:sz w:val="28"/>
                <w:szCs w:val="28"/>
              </w:rPr>
              <w:t>1</w:t>
            </w:r>
            <w:r>
              <w:rPr>
                <w:rFonts w:hint="eastAsia" w:ascii="宋体" w:hAnsi="宋体" w:cs="宋体"/>
                <w:color w:val="000000"/>
                <w:kern w:val="0"/>
                <w:sz w:val="28"/>
                <w:szCs w:val="28"/>
                <w:lang w:val="zh-CN"/>
              </w:rPr>
              <w:t>分，最高得</w:t>
            </w:r>
            <w:r>
              <w:rPr>
                <w:rFonts w:hint="eastAsia" w:ascii="宋体" w:hAnsi="宋体" w:cs="宋体"/>
                <w:color w:val="000000"/>
                <w:kern w:val="0"/>
                <w:sz w:val="28"/>
                <w:szCs w:val="28"/>
              </w:rPr>
              <w:t>3</w:t>
            </w:r>
            <w:r>
              <w:rPr>
                <w:rFonts w:hint="eastAsia" w:ascii="宋体" w:hAnsi="宋体" w:cs="宋体"/>
                <w:color w:val="000000"/>
                <w:kern w:val="0"/>
                <w:sz w:val="28"/>
                <w:szCs w:val="28"/>
                <w:lang w:val="zh-CN"/>
              </w:rPr>
              <w:t>分。在北京市政府采购目录并提供资格证明的得2分。满分</w:t>
            </w:r>
            <w:r>
              <w:rPr>
                <w:rFonts w:hint="eastAsia" w:ascii="宋体" w:hAnsi="宋体" w:cs="宋体"/>
                <w:color w:val="000000"/>
                <w:kern w:val="0"/>
                <w:sz w:val="28"/>
                <w:szCs w:val="28"/>
              </w:rPr>
              <w:t>8分。</w:t>
            </w:r>
          </w:p>
        </w:tc>
        <w:tc>
          <w:tcPr>
            <w:tcW w:w="82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654FE6A">
            <w:pPr>
              <w:autoSpaceDE w:val="0"/>
              <w:autoSpaceDN w:val="0"/>
              <w:adjustRightInd w:val="0"/>
              <w:spacing w:line="360" w:lineRule="auto"/>
              <w:jc w:val="center"/>
              <w:rPr>
                <w:rFonts w:hint="eastAsia" w:ascii="宋体" w:hAnsi="宋体" w:cs="宋体"/>
                <w:color w:val="000000"/>
                <w:kern w:val="0"/>
                <w:sz w:val="28"/>
                <w:szCs w:val="28"/>
                <w:lang w:val="zh-CN"/>
              </w:rPr>
            </w:pPr>
          </w:p>
        </w:tc>
      </w:tr>
      <w:tr w14:paraId="06E19A8A">
        <w:tblPrEx>
          <w:tblCellMar>
            <w:top w:w="0" w:type="dxa"/>
            <w:left w:w="108" w:type="dxa"/>
            <w:bottom w:w="0" w:type="dxa"/>
            <w:right w:w="108" w:type="dxa"/>
          </w:tblCellMar>
        </w:tblPrEx>
        <w:trPr>
          <w:trHeight w:val="560" w:hRule="atLeast"/>
          <w:jc w:val="center"/>
        </w:trPr>
        <w:tc>
          <w:tcPr>
            <w:tcW w:w="46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B13EA2F">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b/>
                <w:bCs/>
                <w:color w:val="000000"/>
                <w:kern w:val="0"/>
                <w:sz w:val="28"/>
                <w:szCs w:val="28"/>
                <w:lang w:val="zh-CN"/>
              </w:rPr>
              <w:t>6</w:t>
            </w:r>
          </w:p>
        </w:tc>
        <w:tc>
          <w:tcPr>
            <w:tcW w:w="1212"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35A86B2">
            <w:pPr>
              <w:autoSpaceDE w:val="0"/>
              <w:autoSpaceDN w:val="0"/>
              <w:adjustRightInd w:val="0"/>
              <w:spacing w:after="200" w:line="276" w:lineRule="auto"/>
              <w:jc w:val="left"/>
              <w:rPr>
                <w:rFonts w:hint="eastAsia" w:ascii="宋体" w:hAnsi="宋体" w:cs="宋体"/>
                <w:color w:val="000000"/>
                <w:kern w:val="0"/>
                <w:sz w:val="28"/>
                <w:szCs w:val="28"/>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7AE3630">
            <w:pPr>
              <w:autoSpaceDE w:val="0"/>
              <w:autoSpaceDN w:val="0"/>
              <w:adjustRightInd w:val="0"/>
              <w:spacing w:line="360" w:lineRule="exact"/>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人员</w:t>
            </w:r>
          </w:p>
          <w:p w14:paraId="13A52F57">
            <w:pPr>
              <w:autoSpaceDE w:val="0"/>
              <w:autoSpaceDN w:val="0"/>
              <w:adjustRightInd w:val="0"/>
              <w:spacing w:line="360" w:lineRule="exact"/>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配置</w:t>
            </w:r>
          </w:p>
          <w:p w14:paraId="50995AA2">
            <w:pPr>
              <w:autoSpaceDE w:val="0"/>
              <w:autoSpaceDN w:val="0"/>
              <w:adjustRightInd w:val="0"/>
              <w:spacing w:line="360" w:lineRule="exact"/>
              <w:rPr>
                <w:rFonts w:hint="eastAsia" w:ascii="宋体" w:hAnsi="宋体" w:cs="宋体"/>
                <w:color w:val="000000"/>
                <w:kern w:val="0"/>
                <w:sz w:val="28"/>
                <w:szCs w:val="28"/>
                <w:lang w:val="zh-CN"/>
              </w:rPr>
            </w:pPr>
            <w:r>
              <w:rPr>
                <w:rFonts w:hint="eastAsia" w:ascii="宋体" w:hAnsi="宋体" w:cs="宋体"/>
                <w:color w:val="000000"/>
                <w:kern w:val="0"/>
                <w:sz w:val="28"/>
                <w:szCs w:val="28"/>
              </w:rPr>
              <w:t>(</w:t>
            </w:r>
            <w:r>
              <w:rPr>
                <w:rFonts w:hint="eastAsia" w:ascii="宋体" w:hAnsi="宋体" w:cs="宋体"/>
                <w:color w:val="000000"/>
                <w:kern w:val="0"/>
                <w:sz w:val="28"/>
                <w:szCs w:val="28"/>
                <w:lang w:val="zh-CN"/>
              </w:rPr>
              <w:t>10分</w:t>
            </w:r>
            <w:r>
              <w:rPr>
                <w:rFonts w:hint="eastAsia" w:ascii="宋体" w:hAnsi="宋体" w:cs="宋体"/>
                <w:color w:val="000000"/>
                <w:kern w:val="0"/>
                <w:sz w:val="28"/>
                <w:szCs w:val="28"/>
              </w:rPr>
              <w:t>)</w:t>
            </w:r>
          </w:p>
        </w:tc>
        <w:tc>
          <w:tcPr>
            <w:tcW w:w="5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85F9540">
            <w:pPr>
              <w:autoSpaceDE w:val="0"/>
              <w:autoSpaceDN w:val="0"/>
              <w:adjustRightInd w:val="0"/>
              <w:spacing w:before="120" w:beforeLines="50" w:after="120" w:afterLines="50" w:line="400" w:lineRule="exac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项目服务期内，提供全程物流配送的得</w:t>
            </w:r>
            <w:r>
              <w:rPr>
                <w:rFonts w:hint="eastAsia" w:ascii="宋体" w:hAnsi="宋体" w:cs="宋体"/>
                <w:color w:val="000000"/>
                <w:kern w:val="0"/>
                <w:sz w:val="28"/>
                <w:szCs w:val="28"/>
              </w:rPr>
              <w:t>4</w:t>
            </w:r>
            <w:r>
              <w:rPr>
                <w:rFonts w:hint="eastAsia" w:ascii="宋体" w:hAnsi="宋体" w:cs="宋体"/>
                <w:color w:val="000000"/>
                <w:kern w:val="0"/>
                <w:sz w:val="28"/>
                <w:szCs w:val="28"/>
                <w:lang w:val="zh-CN"/>
              </w:rPr>
              <w:t>分；提供专车全程物流配送的得</w:t>
            </w:r>
            <w:r>
              <w:rPr>
                <w:rFonts w:hint="eastAsia" w:ascii="宋体" w:hAnsi="宋体" w:cs="宋体"/>
                <w:color w:val="000000"/>
                <w:kern w:val="0"/>
                <w:sz w:val="28"/>
                <w:szCs w:val="28"/>
              </w:rPr>
              <w:t>6</w:t>
            </w:r>
            <w:r>
              <w:rPr>
                <w:rFonts w:hint="eastAsia" w:ascii="宋体" w:hAnsi="宋体" w:cs="宋体"/>
                <w:color w:val="000000"/>
                <w:kern w:val="0"/>
                <w:sz w:val="28"/>
                <w:szCs w:val="28"/>
                <w:lang w:val="zh-CN"/>
              </w:rPr>
              <w:t>分；提供专车全程物流配送且提供“一对一”专人对接服务的得</w:t>
            </w:r>
            <w:r>
              <w:rPr>
                <w:rFonts w:hint="eastAsia" w:ascii="宋体" w:hAnsi="宋体" w:cs="宋体"/>
                <w:color w:val="000000"/>
                <w:kern w:val="0"/>
                <w:sz w:val="28"/>
                <w:szCs w:val="28"/>
              </w:rPr>
              <w:t>10</w:t>
            </w:r>
            <w:r>
              <w:rPr>
                <w:rFonts w:hint="eastAsia" w:ascii="宋体" w:hAnsi="宋体" w:cs="宋体"/>
                <w:color w:val="000000"/>
                <w:kern w:val="0"/>
                <w:sz w:val="28"/>
                <w:szCs w:val="28"/>
                <w:lang w:val="zh-CN"/>
              </w:rPr>
              <w:t>分。需提供相关承诺、相关人员劳务合同、健康证复印件，专车正面照和有效期内的行驶证等材料复印件，并加盖公章。</w:t>
            </w:r>
          </w:p>
        </w:tc>
        <w:tc>
          <w:tcPr>
            <w:tcW w:w="82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362A350">
            <w:pPr>
              <w:autoSpaceDE w:val="0"/>
              <w:autoSpaceDN w:val="0"/>
              <w:adjustRightInd w:val="0"/>
              <w:spacing w:line="360" w:lineRule="auto"/>
              <w:jc w:val="center"/>
              <w:rPr>
                <w:rFonts w:hint="eastAsia" w:ascii="宋体" w:hAnsi="宋体" w:cs="宋体"/>
                <w:color w:val="000000"/>
                <w:kern w:val="0"/>
                <w:sz w:val="28"/>
                <w:szCs w:val="28"/>
                <w:lang w:val="zh-CN"/>
              </w:rPr>
            </w:pPr>
          </w:p>
        </w:tc>
      </w:tr>
      <w:tr w14:paraId="4BB91C2C">
        <w:tblPrEx>
          <w:tblCellMar>
            <w:top w:w="0" w:type="dxa"/>
            <w:left w:w="108" w:type="dxa"/>
            <w:bottom w:w="0" w:type="dxa"/>
            <w:right w:w="108" w:type="dxa"/>
          </w:tblCellMar>
        </w:tblPrEx>
        <w:trPr>
          <w:trHeight w:val="841" w:hRule="atLeast"/>
          <w:jc w:val="center"/>
        </w:trPr>
        <w:tc>
          <w:tcPr>
            <w:tcW w:w="46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7507850">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b/>
                <w:bCs/>
                <w:color w:val="000000"/>
                <w:kern w:val="0"/>
                <w:sz w:val="28"/>
                <w:szCs w:val="28"/>
                <w:lang w:val="zh-CN"/>
              </w:rPr>
              <w:t>1</w:t>
            </w:r>
          </w:p>
        </w:tc>
        <w:tc>
          <w:tcPr>
            <w:tcW w:w="1212" w:type="dxa"/>
            <w:vMerge w:val="restart"/>
            <w:tcBorders>
              <w:top w:val="single" w:color="000000" w:sz="2" w:space="0"/>
              <w:left w:val="single" w:color="000000" w:sz="2" w:space="0"/>
              <w:right w:val="single" w:color="000000" w:sz="2" w:space="0"/>
            </w:tcBorders>
            <w:shd w:val="clear" w:color="000000" w:fill="FFFFFF"/>
            <w:noWrap w:val="0"/>
            <w:vAlign w:val="center"/>
          </w:tcPr>
          <w:p w14:paraId="25054BAF">
            <w:pPr>
              <w:autoSpaceDE w:val="0"/>
              <w:autoSpaceDN w:val="0"/>
              <w:adjustRightInd w:val="0"/>
              <w:spacing w:line="360" w:lineRule="auto"/>
              <w:rPr>
                <w:rFonts w:hint="eastAsia" w:ascii="宋体" w:hAnsi="宋体" w:cs="宋体"/>
                <w:b/>
                <w:bCs/>
                <w:color w:val="000000"/>
                <w:kern w:val="0"/>
                <w:sz w:val="28"/>
                <w:szCs w:val="28"/>
                <w:lang w:val="zh-CN"/>
              </w:rPr>
            </w:pPr>
          </w:p>
          <w:p w14:paraId="2BD4E201">
            <w:pPr>
              <w:autoSpaceDE w:val="0"/>
              <w:autoSpaceDN w:val="0"/>
              <w:adjustRightInd w:val="0"/>
              <w:spacing w:line="360" w:lineRule="auto"/>
              <w:jc w:val="center"/>
              <w:rPr>
                <w:rFonts w:hint="eastAsia" w:ascii="宋体" w:hAnsi="宋体" w:cs="宋体"/>
                <w:b/>
                <w:bCs/>
                <w:color w:val="000000"/>
                <w:kern w:val="0"/>
                <w:sz w:val="28"/>
                <w:szCs w:val="28"/>
                <w:lang w:val="zh-CN"/>
              </w:rPr>
            </w:pPr>
          </w:p>
          <w:p w14:paraId="72CD6299">
            <w:pPr>
              <w:autoSpaceDE w:val="0"/>
              <w:autoSpaceDN w:val="0"/>
              <w:adjustRightInd w:val="0"/>
              <w:spacing w:line="360" w:lineRule="auto"/>
              <w:jc w:val="center"/>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val="zh-CN"/>
              </w:rPr>
              <w:t>保障服务措施</w:t>
            </w:r>
          </w:p>
          <w:p w14:paraId="5DB81794">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b/>
                <w:bCs/>
                <w:color w:val="000000"/>
                <w:kern w:val="0"/>
                <w:sz w:val="28"/>
                <w:szCs w:val="28"/>
                <w:lang w:val="zh-CN"/>
              </w:rPr>
              <w:t>（25分）</w:t>
            </w:r>
          </w:p>
        </w:tc>
        <w:tc>
          <w:tcPr>
            <w:tcW w:w="11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C2406E2">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对服务期内的服务方案及响应承诺</w:t>
            </w:r>
          </w:p>
          <w:p w14:paraId="693FC819">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（9分）</w:t>
            </w:r>
          </w:p>
        </w:tc>
        <w:tc>
          <w:tcPr>
            <w:tcW w:w="5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855498F">
            <w:pPr>
              <w:autoSpaceDE w:val="0"/>
              <w:autoSpaceDN w:val="0"/>
              <w:adjustRightInd w:val="0"/>
              <w:snapToGrid w:val="0"/>
              <w:spacing w:line="400" w:lineRule="exact"/>
              <w:rPr>
                <w:rFonts w:hint="eastAsia" w:ascii="宋体" w:hAnsi="宋体" w:cs="宋体"/>
                <w:color w:val="000000"/>
                <w:kern w:val="0"/>
                <w:sz w:val="28"/>
                <w:szCs w:val="28"/>
              </w:rPr>
            </w:pPr>
            <w:r>
              <w:rPr>
                <w:rFonts w:hint="eastAsia" w:ascii="宋体" w:hAnsi="宋体" w:cs="宋体"/>
                <w:color w:val="000000"/>
                <w:kern w:val="0"/>
                <w:sz w:val="28"/>
                <w:szCs w:val="28"/>
                <w:lang w:val="zh-CN"/>
              </w:rPr>
              <w:t>对项目任务进行全面深入的分析了解，</w:t>
            </w:r>
            <w:r>
              <w:rPr>
                <w:rFonts w:hint="eastAsia" w:ascii="宋体" w:hAnsi="宋体" w:cs="宋体"/>
                <w:color w:val="000000"/>
                <w:kern w:val="0"/>
                <w:sz w:val="28"/>
                <w:szCs w:val="28"/>
              </w:rPr>
              <w:t>能够</w:t>
            </w:r>
            <w:r>
              <w:rPr>
                <w:rFonts w:hint="eastAsia" w:ascii="宋体" w:hAnsi="宋体" w:cs="宋体"/>
                <w:color w:val="000000"/>
                <w:kern w:val="0"/>
                <w:sz w:val="28"/>
                <w:szCs w:val="28"/>
                <w:lang w:val="zh-CN"/>
              </w:rPr>
              <w:t>提供准确的解决方案得</w:t>
            </w:r>
            <w:r>
              <w:rPr>
                <w:rFonts w:hint="eastAsia" w:ascii="宋体" w:hAnsi="宋体" w:cs="宋体"/>
                <w:color w:val="000000"/>
                <w:kern w:val="0"/>
                <w:sz w:val="28"/>
                <w:szCs w:val="28"/>
              </w:rPr>
              <w:t>4</w:t>
            </w:r>
            <w:r>
              <w:rPr>
                <w:rFonts w:hint="eastAsia" w:ascii="宋体" w:hAnsi="宋体" w:cs="宋体"/>
                <w:color w:val="000000"/>
                <w:kern w:val="0"/>
                <w:sz w:val="28"/>
                <w:szCs w:val="28"/>
                <w:lang w:val="zh-CN"/>
              </w:rPr>
              <w:t>分，</w:t>
            </w:r>
            <w:r>
              <w:rPr>
                <w:rFonts w:hint="eastAsia" w:ascii="宋体" w:hAnsi="宋体" w:cs="宋体"/>
                <w:color w:val="000000"/>
                <w:kern w:val="0"/>
                <w:sz w:val="28"/>
                <w:szCs w:val="28"/>
              </w:rPr>
              <w:t>方案较为一般得2分，方案不可行得0分。</w:t>
            </w:r>
          </w:p>
          <w:p w14:paraId="00C1609E">
            <w:pPr>
              <w:autoSpaceDE w:val="0"/>
              <w:autoSpaceDN w:val="0"/>
              <w:adjustRightInd w:val="0"/>
              <w:snapToGrid w:val="0"/>
              <w:spacing w:line="400" w:lineRule="exact"/>
              <w:rPr>
                <w:rFonts w:hint="eastAsia" w:ascii="宋体" w:hAnsi="宋体" w:cs="宋体"/>
                <w:color w:val="000000"/>
                <w:kern w:val="0"/>
                <w:sz w:val="28"/>
                <w:szCs w:val="28"/>
                <w:highlight w:val="yellow"/>
              </w:rPr>
            </w:pPr>
            <w:r>
              <w:rPr>
                <w:rFonts w:hint="eastAsia" w:ascii="宋体" w:hAnsi="宋体" w:cs="宋体"/>
                <w:color w:val="000000"/>
                <w:kern w:val="0"/>
                <w:sz w:val="28"/>
                <w:szCs w:val="28"/>
                <w:lang w:val="zh-CN"/>
              </w:rPr>
              <w:t>对服务方案和响应承诺的时效性、可操作性</w:t>
            </w:r>
            <w:r>
              <w:rPr>
                <w:rFonts w:hint="eastAsia" w:ascii="宋体" w:hAnsi="宋体" w:cs="宋体"/>
                <w:color w:val="000000"/>
                <w:kern w:val="0"/>
                <w:sz w:val="28"/>
                <w:szCs w:val="28"/>
              </w:rPr>
              <w:t>和针对性</w:t>
            </w:r>
            <w:r>
              <w:rPr>
                <w:rFonts w:hint="eastAsia" w:ascii="宋体" w:hAnsi="宋体" w:cs="宋体"/>
                <w:color w:val="000000"/>
                <w:kern w:val="0"/>
                <w:sz w:val="28"/>
                <w:szCs w:val="28"/>
                <w:lang w:val="zh-CN"/>
              </w:rPr>
              <w:t>进行综合评分，</w:t>
            </w:r>
            <w:r>
              <w:rPr>
                <w:rFonts w:hint="eastAsia" w:ascii="宋体" w:hAnsi="宋体" w:cs="宋体"/>
                <w:color w:val="000000"/>
                <w:kern w:val="0"/>
                <w:sz w:val="28"/>
                <w:szCs w:val="28"/>
              </w:rPr>
              <w:t>能够保证</w:t>
            </w:r>
            <w:r>
              <w:rPr>
                <w:rFonts w:hint="eastAsia" w:ascii="宋体" w:hAnsi="宋体" w:cs="宋体"/>
                <w:color w:val="000000"/>
                <w:kern w:val="0"/>
                <w:sz w:val="28"/>
                <w:szCs w:val="28"/>
                <w:lang w:val="zh-CN"/>
              </w:rPr>
              <w:t>24小时内送达货物</w:t>
            </w:r>
            <w:r>
              <w:rPr>
                <w:rFonts w:hint="eastAsia" w:ascii="宋体" w:hAnsi="宋体" w:cs="宋体"/>
                <w:color w:val="000000"/>
                <w:kern w:val="0"/>
                <w:sz w:val="28"/>
                <w:szCs w:val="28"/>
              </w:rPr>
              <w:t>的</w:t>
            </w:r>
            <w:r>
              <w:rPr>
                <w:rFonts w:hint="eastAsia" w:ascii="宋体" w:hAnsi="宋体" w:cs="宋体"/>
                <w:color w:val="000000"/>
                <w:kern w:val="0"/>
                <w:sz w:val="28"/>
                <w:szCs w:val="28"/>
                <w:lang w:val="zh-CN"/>
              </w:rPr>
              <w:t>得5分，</w:t>
            </w:r>
            <w:r>
              <w:rPr>
                <w:rFonts w:hint="eastAsia" w:ascii="宋体" w:hAnsi="宋体" w:cs="宋体"/>
                <w:color w:val="000000"/>
                <w:kern w:val="0"/>
                <w:sz w:val="28"/>
                <w:szCs w:val="28"/>
              </w:rPr>
              <w:t>2</w:t>
            </w:r>
            <w:r>
              <w:rPr>
                <w:rFonts w:hint="eastAsia" w:ascii="宋体" w:hAnsi="宋体" w:cs="宋体"/>
                <w:color w:val="000000"/>
                <w:kern w:val="0"/>
                <w:sz w:val="28"/>
                <w:szCs w:val="28"/>
                <w:lang w:val="zh-CN"/>
              </w:rPr>
              <w:t>天内送达货物</w:t>
            </w:r>
            <w:r>
              <w:rPr>
                <w:rFonts w:hint="eastAsia" w:ascii="宋体" w:hAnsi="宋体" w:cs="宋体"/>
                <w:color w:val="000000"/>
                <w:kern w:val="0"/>
                <w:sz w:val="28"/>
                <w:szCs w:val="28"/>
              </w:rPr>
              <w:t>的</w:t>
            </w:r>
            <w:r>
              <w:rPr>
                <w:rFonts w:hint="eastAsia" w:ascii="宋体" w:hAnsi="宋体" w:cs="宋体"/>
                <w:color w:val="000000"/>
                <w:kern w:val="0"/>
                <w:sz w:val="28"/>
                <w:szCs w:val="28"/>
                <w:lang w:val="zh-CN"/>
              </w:rPr>
              <w:t>得2分，5天内送达</w:t>
            </w:r>
            <w:r>
              <w:rPr>
                <w:rFonts w:hint="eastAsia" w:ascii="宋体" w:hAnsi="宋体" w:cs="宋体"/>
                <w:color w:val="000000"/>
                <w:kern w:val="0"/>
                <w:sz w:val="28"/>
                <w:szCs w:val="28"/>
              </w:rPr>
              <w:t>货物的</w:t>
            </w:r>
            <w:r>
              <w:rPr>
                <w:rFonts w:hint="eastAsia" w:ascii="宋体" w:hAnsi="宋体" w:cs="宋体"/>
                <w:color w:val="000000"/>
                <w:kern w:val="0"/>
                <w:sz w:val="28"/>
                <w:szCs w:val="28"/>
                <w:lang w:val="zh-CN"/>
              </w:rPr>
              <w:t>得1分。满分</w:t>
            </w:r>
            <w:r>
              <w:rPr>
                <w:rFonts w:hint="eastAsia" w:ascii="宋体" w:hAnsi="宋体" w:cs="宋体"/>
                <w:color w:val="000000"/>
                <w:kern w:val="0"/>
                <w:sz w:val="28"/>
                <w:szCs w:val="28"/>
              </w:rPr>
              <w:t>9分。</w:t>
            </w:r>
          </w:p>
        </w:tc>
        <w:tc>
          <w:tcPr>
            <w:tcW w:w="82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7650CA2">
            <w:pPr>
              <w:autoSpaceDE w:val="0"/>
              <w:autoSpaceDN w:val="0"/>
              <w:adjustRightInd w:val="0"/>
              <w:spacing w:line="360" w:lineRule="auto"/>
              <w:jc w:val="center"/>
              <w:rPr>
                <w:rFonts w:hint="eastAsia" w:ascii="宋体" w:hAnsi="宋体" w:cs="宋体"/>
                <w:color w:val="000000"/>
                <w:kern w:val="0"/>
                <w:sz w:val="28"/>
                <w:szCs w:val="28"/>
                <w:lang w:val="zh-CN"/>
              </w:rPr>
            </w:pPr>
          </w:p>
        </w:tc>
      </w:tr>
      <w:tr w14:paraId="63A53C3A">
        <w:tblPrEx>
          <w:tblCellMar>
            <w:top w:w="0" w:type="dxa"/>
            <w:left w:w="108" w:type="dxa"/>
            <w:bottom w:w="0" w:type="dxa"/>
            <w:right w:w="108" w:type="dxa"/>
          </w:tblCellMar>
        </w:tblPrEx>
        <w:trPr>
          <w:trHeight w:val="930" w:hRule="atLeast"/>
          <w:jc w:val="center"/>
        </w:trPr>
        <w:tc>
          <w:tcPr>
            <w:tcW w:w="46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64B61B2">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b/>
                <w:bCs/>
                <w:color w:val="000000"/>
                <w:kern w:val="0"/>
                <w:sz w:val="28"/>
                <w:szCs w:val="28"/>
                <w:lang w:val="zh-CN"/>
              </w:rPr>
              <w:t>2</w:t>
            </w:r>
          </w:p>
        </w:tc>
        <w:tc>
          <w:tcPr>
            <w:tcW w:w="1212" w:type="dxa"/>
            <w:vMerge w:val="continue"/>
            <w:tcBorders>
              <w:left w:val="single" w:color="000000" w:sz="2" w:space="0"/>
              <w:right w:val="single" w:color="000000" w:sz="2" w:space="0"/>
            </w:tcBorders>
            <w:shd w:val="clear" w:color="000000" w:fill="FFFFFF"/>
            <w:noWrap w:val="0"/>
            <w:vAlign w:val="center"/>
          </w:tcPr>
          <w:p w14:paraId="291CD426">
            <w:pPr>
              <w:autoSpaceDE w:val="0"/>
              <w:autoSpaceDN w:val="0"/>
              <w:adjustRightInd w:val="0"/>
              <w:spacing w:after="200" w:line="276" w:lineRule="auto"/>
              <w:jc w:val="left"/>
              <w:rPr>
                <w:rFonts w:hint="eastAsia" w:ascii="宋体" w:hAnsi="宋体" w:cs="宋体"/>
                <w:color w:val="000000"/>
                <w:kern w:val="0"/>
                <w:sz w:val="28"/>
                <w:szCs w:val="28"/>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0185233">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质量管理与保证措施（8分）</w:t>
            </w:r>
          </w:p>
        </w:tc>
        <w:tc>
          <w:tcPr>
            <w:tcW w:w="5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DB9DB98">
            <w:pPr>
              <w:autoSpaceDE w:val="0"/>
              <w:autoSpaceDN w:val="0"/>
              <w:adjustRightInd w:val="0"/>
              <w:spacing w:before="120" w:beforeLines="50" w:after="120" w:afterLines="50" w:line="400" w:lineRule="exac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应符合国家和北京市质量管理相关法律法规和技术规范要求</w:t>
            </w:r>
            <w:r>
              <w:rPr>
                <w:rFonts w:hint="eastAsia" w:ascii="宋体" w:hAnsi="宋体" w:cs="宋体"/>
                <w:sz w:val="28"/>
                <w:szCs w:val="28"/>
              </w:rPr>
              <w:t>（必要时，提供所供后勤材料的第三方检验检测机构检测报告或相关管理部门认证）</w:t>
            </w:r>
            <w:r>
              <w:rPr>
                <w:rFonts w:hint="eastAsia" w:ascii="宋体" w:hAnsi="宋体" w:cs="宋体"/>
                <w:color w:val="000000"/>
                <w:kern w:val="0"/>
                <w:sz w:val="28"/>
                <w:szCs w:val="28"/>
                <w:lang w:val="zh-CN"/>
              </w:rPr>
              <w:t>。配送的后勤材料质量和服务质量管理和保障措施：质量控制体系健全，质量控制手段先进完善：能有针对项目需求的特点、难点、重点分析及预控措施，风险预测与防范对策有效可行。根据方案综合评分：优8分，良5分，差2分，满分8分。</w:t>
            </w:r>
          </w:p>
        </w:tc>
        <w:tc>
          <w:tcPr>
            <w:tcW w:w="82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196760D">
            <w:pPr>
              <w:autoSpaceDE w:val="0"/>
              <w:autoSpaceDN w:val="0"/>
              <w:adjustRightInd w:val="0"/>
              <w:spacing w:line="360" w:lineRule="auto"/>
              <w:jc w:val="center"/>
              <w:rPr>
                <w:rFonts w:hint="eastAsia" w:ascii="宋体" w:hAnsi="宋体" w:cs="宋体"/>
                <w:color w:val="000000"/>
                <w:kern w:val="0"/>
                <w:sz w:val="28"/>
                <w:szCs w:val="28"/>
                <w:lang w:val="zh-CN"/>
              </w:rPr>
            </w:pPr>
          </w:p>
        </w:tc>
      </w:tr>
      <w:tr w14:paraId="50C0EB3D">
        <w:tblPrEx>
          <w:tblCellMar>
            <w:top w:w="0" w:type="dxa"/>
            <w:left w:w="108" w:type="dxa"/>
            <w:bottom w:w="0" w:type="dxa"/>
            <w:right w:w="108" w:type="dxa"/>
          </w:tblCellMar>
        </w:tblPrEx>
        <w:trPr>
          <w:trHeight w:val="3329" w:hRule="atLeast"/>
          <w:jc w:val="center"/>
        </w:trPr>
        <w:tc>
          <w:tcPr>
            <w:tcW w:w="46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148B56B">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b/>
                <w:bCs/>
                <w:color w:val="000000"/>
                <w:kern w:val="0"/>
                <w:sz w:val="28"/>
                <w:szCs w:val="28"/>
                <w:lang w:val="zh-CN"/>
              </w:rPr>
              <w:t>3</w:t>
            </w:r>
          </w:p>
        </w:tc>
        <w:tc>
          <w:tcPr>
            <w:tcW w:w="1212" w:type="dxa"/>
            <w:vMerge w:val="continue"/>
            <w:tcBorders>
              <w:left w:val="single" w:color="000000" w:sz="2" w:space="0"/>
              <w:right w:val="single" w:color="000000" w:sz="2" w:space="0"/>
            </w:tcBorders>
            <w:shd w:val="clear" w:color="000000" w:fill="FFFFFF"/>
            <w:noWrap w:val="0"/>
            <w:vAlign w:val="center"/>
          </w:tcPr>
          <w:p w14:paraId="3F2F66E1">
            <w:pPr>
              <w:autoSpaceDE w:val="0"/>
              <w:autoSpaceDN w:val="0"/>
              <w:adjustRightInd w:val="0"/>
              <w:spacing w:after="200" w:line="276" w:lineRule="auto"/>
              <w:jc w:val="left"/>
              <w:rPr>
                <w:rFonts w:hint="eastAsia" w:ascii="宋体" w:hAnsi="宋体" w:cs="宋体"/>
                <w:color w:val="000000"/>
                <w:kern w:val="0"/>
                <w:sz w:val="28"/>
                <w:szCs w:val="28"/>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0289891">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安全和环保保障措施（8分）</w:t>
            </w:r>
          </w:p>
        </w:tc>
        <w:tc>
          <w:tcPr>
            <w:tcW w:w="5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C729ED3">
            <w:pPr>
              <w:autoSpaceDE w:val="0"/>
              <w:autoSpaceDN w:val="0"/>
              <w:adjustRightInd w:val="0"/>
              <w:spacing w:before="120" w:beforeLines="50" w:after="120" w:afterLines="50" w:line="400" w:lineRule="exac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应符合安全和环境保护相关法律法规和安全技术规范要求，应保证配送的后勤材料安全性能和绿色环保性能</w:t>
            </w:r>
            <w:r>
              <w:rPr>
                <w:rFonts w:hint="eastAsia" w:ascii="宋体" w:hAnsi="宋体" w:cs="宋体"/>
                <w:sz w:val="28"/>
                <w:szCs w:val="28"/>
              </w:rPr>
              <w:t>（提供所供后勤材料的第三方检验检测机构检测报告或相关管理部门认证）</w:t>
            </w:r>
            <w:r>
              <w:rPr>
                <w:rFonts w:hint="eastAsia" w:ascii="宋体" w:hAnsi="宋体" w:cs="宋体"/>
                <w:color w:val="000000"/>
                <w:kern w:val="0"/>
                <w:sz w:val="28"/>
                <w:szCs w:val="28"/>
                <w:lang w:val="zh-CN"/>
              </w:rPr>
              <w:t>。安全和环境保护保障措施完善严格、切实可行、操作性强，具有针对性，根据方案综合评分：优8分，良5分，差2分，满分8分。</w:t>
            </w:r>
          </w:p>
        </w:tc>
        <w:tc>
          <w:tcPr>
            <w:tcW w:w="82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AF4923D">
            <w:pPr>
              <w:autoSpaceDE w:val="0"/>
              <w:autoSpaceDN w:val="0"/>
              <w:adjustRightInd w:val="0"/>
              <w:spacing w:line="360" w:lineRule="auto"/>
              <w:jc w:val="center"/>
              <w:rPr>
                <w:rFonts w:hint="eastAsia" w:ascii="宋体" w:hAnsi="宋体" w:cs="宋体"/>
                <w:color w:val="000000"/>
                <w:kern w:val="0"/>
                <w:sz w:val="28"/>
                <w:szCs w:val="28"/>
                <w:lang w:val="zh-CN"/>
              </w:rPr>
            </w:pPr>
          </w:p>
        </w:tc>
      </w:tr>
      <w:tr w14:paraId="351E1894">
        <w:tblPrEx>
          <w:tblCellMar>
            <w:top w:w="0" w:type="dxa"/>
            <w:left w:w="108" w:type="dxa"/>
            <w:bottom w:w="0" w:type="dxa"/>
            <w:right w:w="108" w:type="dxa"/>
          </w:tblCellMar>
        </w:tblPrEx>
        <w:trPr>
          <w:trHeight w:val="732" w:hRule="atLeast"/>
          <w:jc w:val="center"/>
        </w:trPr>
        <w:tc>
          <w:tcPr>
            <w:tcW w:w="46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4A4681A">
            <w:pPr>
              <w:autoSpaceDE w:val="0"/>
              <w:autoSpaceDN w:val="0"/>
              <w:adjustRightInd w:val="0"/>
              <w:spacing w:line="360" w:lineRule="auto"/>
              <w:jc w:val="center"/>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val="zh-CN"/>
              </w:rPr>
              <w:t>1</w:t>
            </w:r>
          </w:p>
        </w:tc>
        <w:tc>
          <w:tcPr>
            <w:tcW w:w="121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03078DC">
            <w:pPr>
              <w:autoSpaceDE w:val="0"/>
              <w:autoSpaceDN w:val="0"/>
              <w:adjustRightInd w:val="0"/>
              <w:spacing w:line="360" w:lineRule="auto"/>
              <w:jc w:val="center"/>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val="zh-CN"/>
              </w:rPr>
              <w:t>报价</w:t>
            </w:r>
          </w:p>
          <w:p w14:paraId="44724973">
            <w:pPr>
              <w:autoSpaceDE w:val="0"/>
              <w:autoSpaceDN w:val="0"/>
              <w:adjustRightInd w:val="0"/>
              <w:spacing w:line="360" w:lineRule="auto"/>
              <w:jc w:val="center"/>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val="zh-CN"/>
              </w:rPr>
              <w:t>（</w:t>
            </w:r>
            <w:r>
              <w:rPr>
                <w:rFonts w:hint="eastAsia" w:ascii="宋体" w:hAnsi="宋体" w:cs="宋体"/>
                <w:b/>
                <w:bCs/>
                <w:color w:val="000000"/>
                <w:kern w:val="0"/>
                <w:sz w:val="28"/>
                <w:szCs w:val="28"/>
              </w:rPr>
              <w:t>35</w:t>
            </w:r>
            <w:r>
              <w:rPr>
                <w:rFonts w:hint="eastAsia" w:ascii="宋体" w:hAnsi="宋体" w:cs="宋体"/>
                <w:b/>
                <w:bCs/>
                <w:color w:val="000000"/>
                <w:kern w:val="0"/>
                <w:sz w:val="28"/>
                <w:szCs w:val="28"/>
                <w:lang w:val="zh-CN"/>
              </w:rPr>
              <w:t>分）</w:t>
            </w:r>
          </w:p>
        </w:tc>
        <w:tc>
          <w:tcPr>
            <w:tcW w:w="11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E8FF828">
            <w:pPr>
              <w:autoSpaceDE w:val="0"/>
              <w:autoSpaceDN w:val="0"/>
              <w:adjustRightInd w:val="0"/>
              <w:spacing w:line="360" w:lineRule="auto"/>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报价</w:t>
            </w:r>
          </w:p>
          <w:p w14:paraId="2EC95E3F">
            <w:pPr>
              <w:autoSpaceDE w:val="0"/>
              <w:autoSpaceDN w:val="0"/>
              <w:adjustRightInd w:val="0"/>
              <w:spacing w:line="360" w:lineRule="auto"/>
              <w:rPr>
                <w:rFonts w:hint="eastAsia" w:ascii="宋体" w:hAnsi="宋体" w:cs="宋体"/>
                <w:color w:val="000000"/>
                <w:kern w:val="0"/>
                <w:sz w:val="28"/>
                <w:szCs w:val="28"/>
                <w:lang w:val="zh-CN"/>
              </w:rPr>
            </w:pPr>
            <w:r>
              <w:rPr>
                <w:rFonts w:hint="eastAsia" w:ascii="宋体" w:hAnsi="宋体" w:cs="宋体"/>
                <w:color w:val="000000"/>
                <w:kern w:val="0"/>
                <w:sz w:val="28"/>
                <w:szCs w:val="28"/>
              </w:rPr>
              <w:t>(3</w:t>
            </w:r>
            <w:r>
              <w:rPr>
                <w:rFonts w:hint="eastAsia" w:ascii="宋体" w:hAnsi="宋体" w:cs="宋体"/>
                <w:color w:val="000000"/>
                <w:kern w:val="0"/>
                <w:sz w:val="28"/>
                <w:szCs w:val="28"/>
                <w:lang w:val="zh-CN"/>
              </w:rPr>
              <w:t>5分</w:t>
            </w:r>
            <w:r>
              <w:rPr>
                <w:rFonts w:hint="eastAsia" w:ascii="宋体" w:hAnsi="宋体" w:cs="宋体"/>
                <w:color w:val="000000"/>
                <w:kern w:val="0"/>
                <w:sz w:val="28"/>
                <w:szCs w:val="28"/>
              </w:rPr>
              <w:t>)</w:t>
            </w:r>
          </w:p>
        </w:tc>
        <w:tc>
          <w:tcPr>
            <w:tcW w:w="5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64AEBB6">
            <w:pPr>
              <w:autoSpaceDE w:val="0"/>
              <w:autoSpaceDN w:val="0"/>
              <w:adjustRightInd w:val="0"/>
              <w:snapToGrid w:val="0"/>
              <w:spacing w:line="400" w:lineRule="exact"/>
              <w:jc w:val="left"/>
              <w:rPr>
                <w:rFonts w:hint="eastAsia" w:ascii="宋体" w:hAnsi="宋体" w:cs="宋体"/>
                <w:color w:val="000000"/>
                <w:kern w:val="0"/>
                <w:sz w:val="28"/>
                <w:szCs w:val="28"/>
                <w:lang w:val="zh-CN"/>
              </w:rPr>
            </w:pPr>
            <w:r>
              <w:rPr>
                <w:rFonts w:hint="eastAsia" w:ascii="宋体" w:hAnsi="宋体" w:cs="宋体"/>
                <w:sz w:val="28"/>
                <w:szCs w:val="28"/>
              </w:rPr>
              <w:t>基准折扣率（报价人最低折扣）/参选人折扣率（参选人折扣））×35=得分。满分35分。</w:t>
            </w:r>
          </w:p>
        </w:tc>
        <w:tc>
          <w:tcPr>
            <w:tcW w:w="82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6683248">
            <w:pPr>
              <w:autoSpaceDE w:val="0"/>
              <w:autoSpaceDN w:val="0"/>
              <w:adjustRightInd w:val="0"/>
              <w:spacing w:line="360" w:lineRule="auto"/>
              <w:jc w:val="center"/>
              <w:rPr>
                <w:rFonts w:hint="eastAsia" w:ascii="宋体" w:hAnsi="宋体" w:cs="宋体"/>
                <w:color w:val="000000"/>
                <w:kern w:val="0"/>
                <w:sz w:val="28"/>
                <w:szCs w:val="28"/>
                <w:lang w:val="zh-CN"/>
              </w:rPr>
            </w:pPr>
          </w:p>
        </w:tc>
      </w:tr>
      <w:tr w14:paraId="0B196509">
        <w:tblPrEx>
          <w:tblCellMar>
            <w:top w:w="0" w:type="dxa"/>
            <w:left w:w="108" w:type="dxa"/>
            <w:bottom w:w="0" w:type="dxa"/>
            <w:right w:w="108" w:type="dxa"/>
          </w:tblCellMar>
        </w:tblPrEx>
        <w:trPr>
          <w:trHeight w:val="732" w:hRule="atLeast"/>
          <w:jc w:val="center"/>
        </w:trPr>
        <w:tc>
          <w:tcPr>
            <w:tcW w:w="8060" w:type="dxa"/>
            <w:gridSpan w:val="4"/>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EC45BB0">
            <w:pPr>
              <w:autoSpaceDE w:val="0"/>
              <w:autoSpaceDN w:val="0"/>
              <w:adjustRightInd w:val="0"/>
              <w:spacing w:line="360" w:lineRule="auto"/>
              <w:jc w:val="center"/>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val="zh-CN"/>
              </w:rPr>
              <w:t>合  计</w:t>
            </w:r>
          </w:p>
        </w:tc>
        <w:tc>
          <w:tcPr>
            <w:tcW w:w="82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1EDA63E">
            <w:pPr>
              <w:autoSpaceDE w:val="0"/>
              <w:autoSpaceDN w:val="0"/>
              <w:adjustRightInd w:val="0"/>
              <w:spacing w:line="360" w:lineRule="auto"/>
              <w:jc w:val="center"/>
              <w:rPr>
                <w:rFonts w:hint="eastAsia" w:ascii="宋体" w:hAnsi="宋体" w:cs="宋体"/>
                <w:color w:val="000000"/>
                <w:kern w:val="0"/>
                <w:sz w:val="28"/>
                <w:szCs w:val="28"/>
                <w:lang w:val="zh-CN"/>
              </w:rPr>
            </w:pPr>
          </w:p>
        </w:tc>
      </w:tr>
    </w:tbl>
    <w:p w14:paraId="2631CE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YTBjNDhhOTU1ZjM1NDRjNjNmZjdmMjBiYjQ4MTEifQ=="/>
  </w:docVars>
  <w:rsids>
    <w:rsidRoot w:val="00000000"/>
    <w:rsid w:val="47311D0E"/>
    <w:rsid w:val="4E417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1277</Words>
  <Characters>1345</Characters>
  <Lines>0</Lines>
  <Paragraphs>0</Paragraphs>
  <TotalTime>0</TotalTime>
  <ScaleCrop>false</ScaleCrop>
  <LinksUpToDate>false</LinksUpToDate>
  <CharactersWithSpaces>1348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2024-11-28T06:35:00Z</dcterms:created>
  <dc:creator>YJL</dc:creator>
  <cp:lastModifiedBy>文印室—闫江乐</cp:lastModifiedBy>
  <dcterms:modified xsi:type="dcterms:W3CDTF">2024-11-28T06:37:06Z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3BB3B4D583F74348A493D928464A2055_12</vt:lpwstr>
  </property>
</Properties>
</file>